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FB" w:rsidRDefault="00C606FB" w:rsidP="00C606FB">
      <w:pPr>
        <w:rPr>
          <w:b/>
          <w:bCs/>
          <w:i/>
          <w:iCs/>
        </w:rPr>
      </w:pPr>
      <w:bookmarkStart w:id="0" w:name="_MailOriginal"/>
      <w:r>
        <w:rPr>
          <w:b/>
          <w:bCs/>
          <w:i/>
          <w:iCs/>
        </w:rPr>
        <w:t>July 8, 2019</w:t>
      </w:r>
    </w:p>
    <w:p w:rsidR="00C606FB" w:rsidRDefault="00C606FB" w:rsidP="00C606FB">
      <w:pPr>
        <w:rPr>
          <w:b/>
          <w:bCs/>
        </w:rPr>
      </w:pPr>
      <w:r>
        <w:rPr>
          <w:b/>
          <w:bCs/>
        </w:rPr>
        <w:t>To:  Deans, Directors and Department Chairs (DDD), Campus Unit Finance Leads (CUFL), University Business Managers (UBM)</w:t>
      </w:r>
    </w:p>
    <w:p w:rsidR="00C606FB" w:rsidRDefault="00C606FB" w:rsidP="00C606FB">
      <w:pPr>
        <w:outlineLvl w:val="0"/>
        <w:rPr>
          <w:b/>
          <w:bCs/>
        </w:rPr>
      </w:pPr>
      <w:r>
        <w:rPr>
          <w:b/>
          <w:bCs/>
        </w:rPr>
        <w:t xml:space="preserve">From: Missy Wilson-Grissom, Lead Travel Accounting Technician and Janet Rupert, Director of Accounts Payable and Travel Services </w:t>
      </w:r>
    </w:p>
    <w:p w:rsidR="00C606FB" w:rsidRDefault="00C606FB" w:rsidP="00C606FB">
      <w:pPr>
        <w:rPr>
          <w:b/>
          <w:bCs/>
        </w:rPr>
      </w:pPr>
      <w:r>
        <w:rPr>
          <w:b/>
          <w:bCs/>
        </w:rPr>
        <w:t xml:space="preserve">Re: Travel </w:t>
      </w:r>
      <w:r>
        <w:rPr>
          <w:b/>
          <w:bCs/>
        </w:rPr>
        <w:t>Per Diems</w:t>
      </w:r>
      <w:bookmarkStart w:id="1" w:name="_GoBack"/>
      <w:bookmarkEnd w:id="1"/>
      <w:r>
        <w:rPr>
          <w:b/>
          <w:bCs/>
        </w:rPr>
        <w:t xml:space="preserve"> for July 2019-June 2021</w:t>
      </w:r>
    </w:p>
    <w:p w:rsidR="00C606FB" w:rsidRDefault="00C606FB" w:rsidP="00C606FB">
      <w:r>
        <w:t xml:space="preserve">As of July 1, the State of North Carolina has increased subsistence by 4.6% and will remain in effect for years 2019-2021.  Per </w:t>
      </w:r>
      <w:proofErr w:type="gramStart"/>
      <w:r>
        <w:t>diem</w:t>
      </w:r>
      <w:proofErr w:type="gramEnd"/>
      <w:r>
        <w:t xml:space="preserve"> rates are now as listed below: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C606FB" w:rsidTr="00C606FB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FB" w:rsidRDefault="00C606FB">
            <w:pPr>
              <w:spacing w:after="0" w:line="240" w:lineRule="auto"/>
            </w:pP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In-State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Out-of-State</w:t>
            </w:r>
          </w:p>
        </w:tc>
      </w:tr>
      <w:tr w:rsidR="00C606FB" w:rsidTr="00C606F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Breakfast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$ 8.60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 xml:space="preserve">$8.60 </w:t>
            </w:r>
          </w:p>
        </w:tc>
      </w:tr>
      <w:tr w:rsidR="00C606FB" w:rsidTr="00C606F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Lunch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$11.30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$11.30</w:t>
            </w:r>
          </w:p>
        </w:tc>
      </w:tr>
      <w:tr w:rsidR="00C606FB" w:rsidTr="00C606F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 xml:space="preserve">Dinner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$19.50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$22.20</w:t>
            </w:r>
          </w:p>
        </w:tc>
      </w:tr>
      <w:tr w:rsidR="00C606FB" w:rsidTr="00C606F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 xml:space="preserve">Lodging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$75.10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</w:pPr>
            <w:r>
              <w:t>$88.70</w:t>
            </w:r>
          </w:p>
        </w:tc>
      </w:tr>
      <w:tr w:rsidR="00C606FB" w:rsidTr="00C606F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$114.50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6FB" w:rsidRDefault="00C606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$130.80</w:t>
            </w:r>
          </w:p>
        </w:tc>
      </w:tr>
    </w:tbl>
    <w:p w:rsidR="00C606FB" w:rsidRDefault="00C606FB" w:rsidP="00C606FB"/>
    <w:p w:rsidR="00C606FB" w:rsidRDefault="00C606FB" w:rsidP="00C606FB">
      <w:pPr>
        <w:rPr>
          <w:rFonts w:ascii="Franklin Gothic Book" w:hAnsi="Franklin Gothic Book" w:cstheme="minorBidi"/>
        </w:rPr>
      </w:pPr>
      <w:r>
        <w:t xml:space="preserve">Meal per Diems </w:t>
      </w:r>
      <w:proofErr w:type="gramStart"/>
      <w:r>
        <w:t>will be paid</w:t>
      </w:r>
      <w:proofErr w:type="gramEnd"/>
      <w:r>
        <w:t xml:space="preserve"> if the employee leaves or returns at the following times:</w:t>
      </w:r>
    </w:p>
    <w:tbl>
      <w:tblPr>
        <w:tblpPr w:leftFromText="45" w:rightFromText="45" w:topFromText="75" w:bottomFromText="150" w:vertAnchor="text"/>
        <w:tblW w:w="5000" w:type="pct"/>
        <w:tblCellSpacing w:w="15" w:type="dxa"/>
        <w:shd w:val="clear" w:color="auto" w:fill="FFFFFF"/>
        <w:tblCellMar>
          <w:bottom w:w="270" w:type="dxa"/>
        </w:tblCellMar>
        <w:tblLook w:val="04A0" w:firstRow="1" w:lastRow="0" w:firstColumn="1" w:lastColumn="0" w:noHBand="0" w:noVBand="1"/>
      </w:tblPr>
      <w:tblGrid>
        <w:gridCol w:w="1160"/>
        <w:gridCol w:w="2001"/>
        <w:gridCol w:w="1771"/>
        <w:gridCol w:w="4412"/>
      </w:tblGrid>
      <w:tr w:rsidR="00C606FB" w:rsidTr="00C606FB">
        <w:trPr>
          <w:tblCellSpacing w:w="15" w:type="dxa"/>
        </w:trPr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Meal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Day of Departure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Day of Return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Comments</w:t>
            </w:r>
          </w:p>
        </w:tc>
      </w:tr>
      <w:tr w:rsidR="00C606FB" w:rsidTr="00C606FB">
        <w:trPr>
          <w:tblCellSpacing w:w="15" w:type="dxa"/>
        </w:trPr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Leave before 6:00 a.m.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N/A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Must extend the workday two hours</w:t>
            </w:r>
          </w:p>
        </w:tc>
      </w:tr>
      <w:tr w:rsidR="00C606FB" w:rsidTr="00C606FB">
        <w:trPr>
          <w:tblCellSpacing w:w="15" w:type="dxa"/>
        </w:trPr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Leave before 12:00 p.m.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Return after 2:00 p.m.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Cannot be claimed unless either the trip requires an overnight stay</w:t>
            </w:r>
            <w:r>
              <w:rPr>
                <w:rFonts w:eastAsia="Times New Roman" w:cs="Times New Roman"/>
              </w:rPr>
              <w:br/>
              <w:t>or the cost of the lunch is part of a registration fee</w:t>
            </w:r>
          </w:p>
        </w:tc>
      </w:tr>
      <w:tr w:rsidR="00C606FB" w:rsidTr="00C606FB">
        <w:trPr>
          <w:tblCellSpacing w:w="15" w:type="dxa"/>
        </w:trPr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Leave before 5:00 p.m.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Return after 8:00 p.m.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06FB" w:rsidRDefault="00C606F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Must extend the workday by three hours</w:t>
            </w:r>
          </w:p>
        </w:tc>
      </w:tr>
    </w:tbl>
    <w:p w:rsidR="00C606FB" w:rsidRDefault="00C606FB" w:rsidP="00C606FB">
      <w:pPr>
        <w:rPr>
          <w:rFonts w:ascii="Franklin Gothic Book" w:hAnsi="Franklin Gothic Book" w:cstheme="minorBidi"/>
        </w:rPr>
      </w:pPr>
      <w:r>
        <w:t xml:space="preserve">In order to reduce paperwork, finance will automatically </w:t>
      </w:r>
      <w:proofErr w:type="gramStart"/>
      <w:r>
        <w:t>calculate per diem rates based on the following assumptions</w:t>
      </w:r>
      <w:proofErr w:type="gramEnd"/>
      <w:r>
        <w:t>:</w:t>
      </w:r>
    </w:p>
    <w:p w:rsidR="00C606FB" w:rsidRDefault="00C606FB" w:rsidP="00C606FB">
      <w:pPr>
        <w:pStyle w:val="ListParagraph"/>
        <w:numPr>
          <w:ilvl w:val="0"/>
          <w:numId w:val="1"/>
        </w:numPr>
      </w:pPr>
      <w:r>
        <w:t xml:space="preserve">Travel times </w:t>
      </w:r>
      <w:proofErr w:type="gramStart"/>
      <w:r>
        <w:t>will be calculated</w:t>
      </w:r>
      <w:proofErr w:type="gramEnd"/>
      <w:r>
        <w:t xml:space="preserve"> at 2 hours prior or after the scheduled flight departure or arrival time. For driving, employees should indicate time of departure / arrival on mileage support documentation</w:t>
      </w:r>
    </w:p>
    <w:p w:rsidR="00C606FB" w:rsidRDefault="00C606FB" w:rsidP="00C606FB">
      <w:pPr>
        <w:pStyle w:val="ListParagraph"/>
        <w:numPr>
          <w:ilvl w:val="0"/>
          <w:numId w:val="1"/>
        </w:numPr>
      </w:pPr>
      <w:proofErr w:type="gramStart"/>
      <w:r>
        <w:t>All meals that are specifically stated as included in conference brochures will not</w:t>
      </w:r>
      <w:proofErr w:type="gramEnd"/>
      <w:r>
        <w:t xml:space="preserve"> be reimbursed.</w:t>
      </w:r>
    </w:p>
    <w:p w:rsidR="00C606FB" w:rsidRDefault="00C606FB" w:rsidP="00C606FB">
      <w:pPr>
        <w:pStyle w:val="ListParagraph"/>
        <w:numPr>
          <w:ilvl w:val="0"/>
          <w:numId w:val="1"/>
        </w:numPr>
      </w:pPr>
      <w:r>
        <w:t xml:space="preserve">All other meals </w:t>
      </w:r>
      <w:proofErr w:type="gramStart"/>
      <w:r>
        <w:t>will be reimbursed</w:t>
      </w:r>
      <w:proofErr w:type="gramEnd"/>
      <w:r>
        <w:t xml:space="preserve"> at the per diem rate.</w:t>
      </w:r>
    </w:p>
    <w:p w:rsidR="00C606FB" w:rsidRDefault="00C606FB" w:rsidP="00C606FB">
      <w:r>
        <w:t xml:space="preserve">Relevant policies and the </w:t>
      </w:r>
      <w:hyperlink r:id="rId5" w:history="1">
        <w:r>
          <w:rPr>
            <w:rStyle w:val="Hyperlink"/>
          </w:rPr>
          <w:t>Allowances page</w:t>
        </w:r>
      </w:hyperlink>
      <w:r>
        <w:t xml:space="preserve"> </w:t>
      </w:r>
      <w:proofErr w:type="gramStart"/>
      <w:r>
        <w:t>are being updated</w:t>
      </w:r>
      <w:proofErr w:type="gramEnd"/>
      <w:r>
        <w:t>.  Mileage rates remain the same as from January 9, 2019 (</w:t>
      </w:r>
      <w:hyperlink r:id="rId6" w:history="1">
        <w:r>
          <w:rPr>
            <w:rStyle w:val="Hyperlink"/>
          </w:rPr>
          <w:t>see memo</w:t>
        </w:r>
      </w:hyperlink>
      <w:r>
        <w:t xml:space="preserve">). </w:t>
      </w:r>
    </w:p>
    <w:bookmarkEnd w:id="0"/>
    <w:p w:rsidR="00C606FB" w:rsidRDefault="00C606FB" w:rsidP="00C606FB"/>
    <w:p w:rsidR="00C0495E" w:rsidRDefault="00C0495E"/>
    <w:sectPr w:rsidR="00C0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7234"/>
    <w:multiLevelType w:val="hybridMultilevel"/>
    <w:tmpl w:val="149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B"/>
    <w:rsid w:val="00C0495E"/>
    <w:rsid w:val="00C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AEE7"/>
  <w15:chartTrackingRefBased/>
  <w15:docId w15:val="{6687E9D0-1CF7-4966-B9C0-79AD7A89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F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6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6FB"/>
    <w:pPr>
      <w:spacing w:line="254" w:lineRule="auto"/>
      <w:ind w:left="720"/>
      <w:contextualSpacing/>
    </w:pPr>
    <w:rPr>
      <w:rFonts w:ascii="Franklin Gothic Book" w:hAnsi="Franklin Gothic Book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unc.edu/news/2019/01/09/2019-travel-mileage-updates/" TargetMode="External"/><Relationship Id="rId5" Type="http://schemas.openxmlformats.org/officeDocument/2006/relationships/hyperlink" Target="https://finance.unc.edu/departments/strategic-sourcing-payment/procurement/accounts-payable-travel-services/travel/allowan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Penny W</dc:creator>
  <cp:keywords/>
  <dc:description/>
  <cp:lastModifiedBy>Harris, Penny W</cp:lastModifiedBy>
  <cp:revision>1</cp:revision>
  <dcterms:created xsi:type="dcterms:W3CDTF">2019-07-08T19:06:00Z</dcterms:created>
  <dcterms:modified xsi:type="dcterms:W3CDTF">2019-07-08T19:07:00Z</dcterms:modified>
</cp:coreProperties>
</file>